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D37" w:rsidRDefault="00BF7D37" w:rsidP="00BF7D37">
      <w:pPr>
        <w:jc w:val="both"/>
        <w:rPr>
          <w:rFonts w:ascii="Arial" w:hAnsi="Arial" w:cs="Arial"/>
          <w:b/>
          <w:bCs/>
          <w:sz w:val="36"/>
          <w:szCs w:val="36"/>
        </w:rPr>
      </w:pPr>
      <w:r w:rsidRPr="00BF7D37">
        <w:rPr>
          <w:rFonts w:ascii="Arial" w:hAnsi="Arial" w:cs="Arial"/>
          <w:b/>
          <w:bCs/>
          <w:sz w:val="36"/>
          <w:szCs w:val="36"/>
        </w:rPr>
        <w:t>Что следует знать о пенсионных накоплениях</w:t>
      </w:r>
    </w:p>
    <w:p w:rsidR="00103F87" w:rsidRPr="0032730E" w:rsidRDefault="00103F87" w:rsidP="00103F87">
      <w:pPr>
        <w:spacing w:after="0" w:line="240" w:lineRule="auto"/>
        <w:rPr>
          <w:rFonts w:ascii="Arial" w:eastAsia="Times New Roman" w:hAnsi="Arial" w:cs="Arial"/>
          <w:b/>
          <w:sz w:val="28"/>
          <w:szCs w:val="28"/>
          <w:lang w:eastAsia="ru-RU"/>
        </w:rPr>
      </w:pPr>
      <w:r w:rsidRPr="0032730E">
        <w:rPr>
          <w:rFonts w:ascii="Arial" w:eastAsia="Times New Roman" w:hAnsi="Arial" w:cs="Arial"/>
          <w:b/>
          <w:sz w:val="28"/>
          <w:szCs w:val="28"/>
          <w:lang w:eastAsia="ru-RU"/>
        </w:rPr>
        <w:t>Пресс-релиз</w:t>
      </w:r>
    </w:p>
    <w:p w:rsidR="00103F87" w:rsidRPr="0032730E" w:rsidRDefault="00103F87" w:rsidP="00103F87">
      <w:pPr>
        <w:spacing w:after="0" w:line="240" w:lineRule="auto"/>
        <w:rPr>
          <w:rFonts w:ascii="Arial" w:eastAsia="Times New Roman" w:hAnsi="Arial" w:cs="Arial"/>
          <w:b/>
          <w:sz w:val="28"/>
          <w:szCs w:val="28"/>
          <w:lang w:eastAsia="ru-RU"/>
        </w:rPr>
      </w:pPr>
      <w:r>
        <w:rPr>
          <w:rFonts w:ascii="Arial" w:eastAsia="Times New Roman" w:hAnsi="Arial" w:cs="Arial"/>
          <w:b/>
          <w:sz w:val="28"/>
          <w:szCs w:val="28"/>
          <w:lang w:eastAsia="ru-RU"/>
        </w:rPr>
        <w:t>23</w:t>
      </w:r>
      <w:r w:rsidRPr="0032730E">
        <w:rPr>
          <w:rFonts w:ascii="Arial" w:eastAsia="Times New Roman" w:hAnsi="Arial" w:cs="Arial"/>
          <w:b/>
          <w:sz w:val="28"/>
          <w:szCs w:val="28"/>
          <w:lang w:eastAsia="ru-RU"/>
        </w:rPr>
        <w:t>.</w:t>
      </w:r>
      <w:r>
        <w:rPr>
          <w:rFonts w:ascii="Arial" w:eastAsia="Times New Roman" w:hAnsi="Arial" w:cs="Arial"/>
          <w:b/>
          <w:sz w:val="28"/>
          <w:szCs w:val="28"/>
          <w:lang w:eastAsia="ru-RU"/>
        </w:rPr>
        <w:t>05</w:t>
      </w:r>
      <w:r w:rsidRPr="0032730E">
        <w:rPr>
          <w:rFonts w:ascii="Arial" w:eastAsia="Times New Roman" w:hAnsi="Arial" w:cs="Arial"/>
          <w:b/>
          <w:sz w:val="28"/>
          <w:szCs w:val="28"/>
          <w:lang w:eastAsia="ru-RU"/>
        </w:rPr>
        <w:t>.201</w:t>
      </w:r>
      <w:r>
        <w:rPr>
          <w:rFonts w:ascii="Arial" w:eastAsia="Times New Roman" w:hAnsi="Arial" w:cs="Arial"/>
          <w:b/>
          <w:sz w:val="28"/>
          <w:szCs w:val="28"/>
          <w:lang w:eastAsia="ru-RU"/>
        </w:rPr>
        <w:t>7</w:t>
      </w:r>
      <w:r w:rsidRPr="0032730E">
        <w:rPr>
          <w:rFonts w:ascii="Arial" w:eastAsia="Times New Roman" w:hAnsi="Arial" w:cs="Arial"/>
          <w:b/>
          <w:sz w:val="28"/>
          <w:szCs w:val="28"/>
          <w:lang w:eastAsia="ru-RU"/>
        </w:rPr>
        <w:t xml:space="preserve"> г.</w:t>
      </w:r>
    </w:p>
    <w:p w:rsidR="00103F87" w:rsidRDefault="00103F87" w:rsidP="00103F87">
      <w:pPr>
        <w:spacing w:after="0" w:line="240" w:lineRule="auto"/>
        <w:rPr>
          <w:rFonts w:ascii="Arial" w:eastAsia="Times New Roman" w:hAnsi="Arial" w:cs="Arial"/>
          <w:b/>
          <w:sz w:val="28"/>
          <w:szCs w:val="28"/>
          <w:lang w:eastAsia="ru-RU"/>
        </w:rPr>
      </w:pPr>
      <w:r w:rsidRPr="0032730E">
        <w:rPr>
          <w:rFonts w:ascii="Arial" w:eastAsia="Times New Roman" w:hAnsi="Arial" w:cs="Arial"/>
          <w:b/>
          <w:sz w:val="28"/>
          <w:szCs w:val="28"/>
          <w:lang w:eastAsia="ru-RU"/>
        </w:rPr>
        <w:t>Нальчик. КБР.</w:t>
      </w:r>
    </w:p>
    <w:p w:rsidR="00103F87" w:rsidRPr="0032730E" w:rsidRDefault="00103F87" w:rsidP="00103F87">
      <w:pPr>
        <w:spacing w:after="0" w:line="240" w:lineRule="auto"/>
        <w:rPr>
          <w:rFonts w:ascii="Arial" w:eastAsia="Times New Roman" w:hAnsi="Arial" w:cs="Arial"/>
          <w:b/>
          <w:sz w:val="28"/>
          <w:szCs w:val="28"/>
          <w:lang w:eastAsia="ru-RU"/>
        </w:rPr>
      </w:pPr>
    </w:p>
    <w:p w:rsidR="00BF7D37" w:rsidRPr="00BF7D37" w:rsidRDefault="00BF7D37" w:rsidP="00BF7D37">
      <w:pPr>
        <w:spacing w:line="360" w:lineRule="auto"/>
        <w:jc w:val="both"/>
        <w:rPr>
          <w:rFonts w:ascii="Arial" w:hAnsi="Arial" w:cs="Arial"/>
          <w:sz w:val="24"/>
          <w:szCs w:val="24"/>
        </w:rPr>
      </w:pPr>
      <w:r w:rsidRPr="00BF7D37">
        <w:rPr>
          <w:rFonts w:ascii="Arial" w:hAnsi="Arial" w:cs="Arial"/>
          <w:sz w:val="24"/>
          <w:szCs w:val="24"/>
        </w:rPr>
        <w:t>Сегодня на основании законодательства работодатели уплачивают страховые взносы в обязательную пенсионную систему по тарифу 22% от фонда оплаты труда работника. Из них 16% идут на формирование страховой пенсии, а 6% тарифа  могут идти на формирование пенсионных накоплений или, по выбору гражданина, все 22% могут идти на формирование страховой пенсии.</w:t>
      </w:r>
    </w:p>
    <w:p w:rsidR="00BF7D37" w:rsidRPr="00BF7D37" w:rsidRDefault="00BF7D37" w:rsidP="00BF7D37">
      <w:pPr>
        <w:spacing w:line="360" w:lineRule="auto"/>
        <w:jc w:val="both"/>
        <w:rPr>
          <w:rFonts w:ascii="Arial" w:hAnsi="Arial" w:cs="Arial"/>
          <w:sz w:val="24"/>
          <w:szCs w:val="24"/>
        </w:rPr>
      </w:pPr>
      <w:r w:rsidRPr="00BF7D37">
        <w:rPr>
          <w:rFonts w:ascii="Arial" w:hAnsi="Arial" w:cs="Arial"/>
          <w:sz w:val="24"/>
          <w:szCs w:val="24"/>
        </w:rPr>
        <w:t xml:space="preserve">У граждан 1966 года рождения и старше формирование пенсионных накоплений может происходить только за счет добровольных взносов в рамках Программы государственного </w:t>
      </w:r>
      <w:proofErr w:type="spellStart"/>
      <w:r w:rsidRPr="00BF7D37">
        <w:rPr>
          <w:rFonts w:ascii="Arial" w:hAnsi="Arial" w:cs="Arial"/>
          <w:sz w:val="24"/>
          <w:szCs w:val="24"/>
        </w:rPr>
        <w:t>софинансирования</w:t>
      </w:r>
      <w:proofErr w:type="spellEnd"/>
      <w:r w:rsidRPr="00BF7D37">
        <w:rPr>
          <w:rFonts w:ascii="Arial" w:hAnsi="Arial" w:cs="Arial"/>
          <w:sz w:val="24"/>
          <w:szCs w:val="24"/>
        </w:rPr>
        <w:t xml:space="preserve"> пенсионных накоплений, а также за счет направления средств материнского (семейного) капитала на накопительную пенсию. Если гражданин работает, страховые взносы на обязательное пенсионное страхование направляются только на формирование страховой пенсии. Пенсионные накопления также есть у мужчин 1953-1966 года рождения и женщин 1957-1966 года рождения, в пользу которых в период с 2002 по 2004 гг. включительно уплачивались страховые взносы на накопительную пенсию. С 2005 года эти отчисления были прекращены в связи с изменениями в законодательстве.</w:t>
      </w:r>
    </w:p>
    <w:p w:rsidR="00BF7D37" w:rsidRPr="00BF7D37" w:rsidRDefault="00BF7D37" w:rsidP="00BF7D37">
      <w:pPr>
        <w:spacing w:line="360" w:lineRule="auto"/>
        <w:jc w:val="both"/>
        <w:rPr>
          <w:rFonts w:ascii="Arial" w:hAnsi="Arial" w:cs="Arial"/>
          <w:sz w:val="24"/>
          <w:szCs w:val="24"/>
        </w:rPr>
      </w:pPr>
      <w:r w:rsidRPr="00BF7D37">
        <w:rPr>
          <w:rFonts w:ascii="Arial" w:hAnsi="Arial" w:cs="Arial"/>
          <w:sz w:val="24"/>
          <w:szCs w:val="24"/>
        </w:rPr>
        <w:t>Если же гражданин родился в 1967 году и позднее, до 31 декабря 2015 года ему предоставлялась возможность выбора собственного варианта пенсионного обеспечения в отношении своих будущих пенсионных накоплений:</w:t>
      </w:r>
    </w:p>
    <w:p w:rsidR="00BF7D37" w:rsidRPr="00BF7D37" w:rsidRDefault="00BF7D37" w:rsidP="00BF7D37">
      <w:pPr>
        <w:numPr>
          <w:ilvl w:val="0"/>
          <w:numId w:val="1"/>
        </w:numPr>
        <w:spacing w:line="360" w:lineRule="auto"/>
        <w:jc w:val="both"/>
        <w:rPr>
          <w:rFonts w:ascii="Arial" w:hAnsi="Arial" w:cs="Arial"/>
          <w:sz w:val="24"/>
          <w:szCs w:val="24"/>
        </w:rPr>
      </w:pPr>
      <w:r w:rsidRPr="00BF7D37">
        <w:rPr>
          <w:rFonts w:ascii="Arial" w:hAnsi="Arial" w:cs="Arial"/>
          <w:i/>
          <w:iCs/>
          <w:sz w:val="24"/>
          <w:szCs w:val="24"/>
        </w:rPr>
        <w:t>формировать только страховую пенсию</w:t>
      </w:r>
    </w:p>
    <w:p w:rsidR="00BF7D37" w:rsidRPr="00BF7D37" w:rsidRDefault="00BF7D37" w:rsidP="00BF7D37">
      <w:pPr>
        <w:numPr>
          <w:ilvl w:val="0"/>
          <w:numId w:val="1"/>
        </w:numPr>
        <w:spacing w:line="360" w:lineRule="auto"/>
        <w:jc w:val="both"/>
        <w:rPr>
          <w:rFonts w:ascii="Arial" w:hAnsi="Arial" w:cs="Arial"/>
          <w:sz w:val="24"/>
          <w:szCs w:val="24"/>
        </w:rPr>
      </w:pPr>
      <w:r w:rsidRPr="00BF7D37">
        <w:rPr>
          <w:rFonts w:ascii="Arial" w:hAnsi="Arial" w:cs="Arial"/>
          <w:i/>
          <w:iCs/>
          <w:sz w:val="24"/>
          <w:szCs w:val="24"/>
        </w:rPr>
        <w:t>формировать страховую и накопительную пенсию одновременно</w:t>
      </w:r>
    </w:p>
    <w:p w:rsidR="00BF7D37" w:rsidRPr="00BF7D37" w:rsidRDefault="00BF7D37" w:rsidP="00BF7D37">
      <w:pPr>
        <w:spacing w:line="360" w:lineRule="auto"/>
        <w:jc w:val="both"/>
        <w:rPr>
          <w:rFonts w:ascii="Arial" w:hAnsi="Arial" w:cs="Arial"/>
          <w:sz w:val="24"/>
          <w:szCs w:val="24"/>
        </w:rPr>
      </w:pPr>
      <w:r w:rsidRPr="00BF7D37">
        <w:rPr>
          <w:rFonts w:ascii="Arial" w:hAnsi="Arial" w:cs="Arial"/>
          <w:sz w:val="24"/>
          <w:szCs w:val="24"/>
        </w:rPr>
        <w:t>Гражданам 1966 года рождения и старше выбор варианта пенсионного обеспечения не предоставлялся.</w:t>
      </w:r>
    </w:p>
    <w:p w:rsidR="00BF7D37" w:rsidRPr="00BF7D37" w:rsidRDefault="00BF7D37" w:rsidP="00BF7D37">
      <w:pPr>
        <w:spacing w:line="360" w:lineRule="auto"/>
        <w:jc w:val="both"/>
        <w:rPr>
          <w:rFonts w:ascii="Arial" w:hAnsi="Arial" w:cs="Arial"/>
          <w:sz w:val="24"/>
          <w:szCs w:val="24"/>
        </w:rPr>
      </w:pPr>
      <w:r w:rsidRPr="00BF7D37">
        <w:rPr>
          <w:rFonts w:ascii="Arial" w:hAnsi="Arial" w:cs="Arial"/>
          <w:sz w:val="24"/>
          <w:szCs w:val="24"/>
        </w:rPr>
        <w:t>В настоящее время право выбора варианта пенсионного обеспечения сохраняют лица 1967 года рождения и моложе, в отношении которых с 1 января 2014 года впервые начисляются страховые взносы на обязательное пенсионное страхование.</w:t>
      </w:r>
    </w:p>
    <w:p w:rsidR="00BF7D37" w:rsidRPr="00BF7D37" w:rsidRDefault="00BF7D37" w:rsidP="00BF7D37">
      <w:pPr>
        <w:spacing w:line="360" w:lineRule="auto"/>
        <w:jc w:val="both"/>
        <w:rPr>
          <w:rFonts w:ascii="Arial" w:hAnsi="Arial" w:cs="Arial"/>
          <w:sz w:val="24"/>
          <w:szCs w:val="24"/>
        </w:rPr>
      </w:pPr>
      <w:r w:rsidRPr="00BF7D37">
        <w:rPr>
          <w:rFonts w:ascii="Arial" w:hAnsi="Arial" w:cs="Arial"/>
          <w:sz w:val="24"/>
          <w:szCs w:val="24"/>
        </w:rPr>
        <w:t>До 31 декабря года, в котором истекает пятилетний период с момента первого начисления страховых взносов на обязательное пенсионное страхование, указанные граждане вправе:</w:t>
      </w:r>
    </w:p>
    <w:p w:rsidR="00BF7D37" w:rsidRPr="00BF7D37" w:rsidRDefault="00BF7D37" w:rsidP="00BF7D37">
      <w:pPr>
        <w:numPr>
          <w:ilvl w:val="0"/>
          <w:numId w:val="2"/>
        </w:numPr>
        <w:spacing w:line="360" w:lineRule="auto"/>
        <w:jc w:val="both"/>
        <w:rPr>
          <w:rFonts w:ascii="Arial" w:hAnsi="Arial" w:cs="Arial"/>
          <w:sz w:val="24"/>
          <w:szCs w:val="24"/>
        </w:rPr>
      </w:pPr>
      <w:r w:rsidRPr="00BF7D37">
        <w:rPr>
          <w:rFonts w:ascii="Arial" w:hAnsi="Arial" w:cs="Arial"/>
          <w:i/>
          <w:iCs/>
          <w:sz w:val="24"/>
          <w:szCs w:val="24"/>
        </w:rPr>
        <w:lastRenderedPageBreak/>
        <w:t>заключить договор об обязательном пенсионном страховании и обратиться с заявлением о переходе (досрочном переходе) в негосударственный пенсионный фонд;</w:t>
      </w:r>
    </w:p>
    <w:p w:rsidR="00BF7D37" w:rsidRPr="00BF7D37" w:rsidRDefault="00BF7D37" w:rsidP="00BF7D37">
      <w:pPr>
        <w:numPr>
          <w:ilvl w:val="0"/>
          <w:numId w:val="2"/>
        </w:numPr>
        <w:spacing w:line="360" w:lineRule="auto"/>
        <w:jc w:val="both"/>
        <w:rPr>
          <w:rFonts w:ascii="Arial" w:hAnsi="Arial" w:cs="Arial"/>
          <w:sz w:val="24"/>
          <w:szCs w:val="24"/>
        </w:rPr>
      </w:pPr>
      <w:r w:rsidRPr="00BF7D37">
        <w:rPr>
          <w:rFonts w:ascii="Arial" w:hAnsi="Arial" w:cs="Arial"/>
          <w:i/>
          <w:iCs/>
          <w:sz w:val="24"/>
          <w:szCs w:val="24"/>
        </w:rPr>
        <w:t>либо обратиться с заявлением о выборе инвестиционного портфеля управляющей компании, расширенного инвестиционного портфеля государственной управляющей компании или инвестиционного портфеля государственных ценных бумаг государственной управляющей компании.</w:t>
      </w:r>
    </w:p>
    <w:p w:rsidR="00BF7D37" w:rsidRPr="00BF7D37" w:rsidRDefault="00BF7D37" w:rsidP="00BF7D37">
      <w:pPr>
        <w:spacing w:line="360" w:lineRule="auto"/>
        <w:jc w:val="both"/>
        <w:rPr>
          <w:rFonts w:ascii="Arial" w:hAnsi="Arial" w:cs="Arial"/>
          <w:sz w:val="24"/>
          <w:szCs w:val="24"/>
        </w:rPr>
      </w:pPr>
      <w:proofErr w:type="gramStart"/>
      <w:r w:rsidRPr="00BF7D37">
        <w:rPr>
          <w:rFonts w:ascii="Arial" w:hAnsi="Arial" w:cs="Arial"/>
          <w:sz w:val="24"/>
          <w:szCs w:val="24"/>
        </w:rPr>
        <w:t>При внесении изменений в единый реестр застрахованных лиц по обязательному пенсионному страхованию либо при удовлетворении Пенсионным фондом Российской Федерации заявления о выборе инвестиционного портфеля с установлением варианта пенсионного обеспечения, предусматривающего направление на финансирование накопительной пенсии 6 % индивидуальной части тарифа страхового взноса, для указанных застрахованных лиц устанавливается вариант пенсионного обеспечения, предусматривающий направление страховых взносов на накопительную пенсию.</w:t>
      </w:r>
      <w:proofErr w:type="gramEnd"/>
    </w:p>
    <w:p w:rsidR="00BF7D37" w:rsidRPr="00BF7D37" w:rsidRDefault="00BF7D37" w:rsidP="00BF7D37">
      <w:pPr>
        <w:spacing w:line="360" w:lineRule="auto"/>
        <w:jc w:val="both"/>
        <w:rPr>
          <w:rFonts w:ascii="Arial" w:hAnsi="Arial" w:cs="Arial"/>
          <w:sz w:val="24"/>
          <w:szCs w:val="24"/>
        </w:rPr>
      </w:pPr>
      <w:r w:rsidRPr="00BF7D37">
        <w:rPr>
          <w:rFonts w:ascii="Arial" w:hAnsi="Arial" w:cs="Arial"/>
          <w:sz w:val="24"/>
          <w:szCs w:val="24"/>
        </w:rPr>
        <w:t>До реализации данного права выбора, а также для лиц, не воспользовавшихся указанным правом, устанавливается вариант пенсионного обеспечения, предусматривающий направление на финансирование страховой пенсии страхового взноса в полном объеме.</w:t>
      </w:r>
    </w:p>
    <w:p w:rsidR="00BF7D37" w:rsidRPr="00BF7D37" w:rsidRDefault="00BF7D37" w:rsidP="00BF7D37">
      <w:pPr>
        <w:spacing w:line="360" w:lineRule="auto"/>
        <w:jc w:val="both"/>
        <w:rPr>
          <w:rFonts w:ascii="Arial" w:hAnsi="Arial" w:cs="Arial"/>
          <w:sz w:val="24"/>
          <w:szCs w:val="24"/>
        </w:rPr>
      </w:pPr>
      <w:r w:rsidRPr="00BF7D37">
        <w:rPr>
          <w:rFonts w:ascii="Arial" w:hAnsi="Arial" w:cs="Arial"/>
          <w:sz w:val="24"/>
          <w:szCs w:val="24"/>
        </w:rPr>
        <w:t xml:space="preserve">В случае если по истечении пятилетнего периода с момента первого начисления страховых взносов на обязательное пенсионное страхование </w:t>
      </w:r>
      <w:proofErr w:type="gramStart"/>
      <w:r w:rsidRPr="00BF7D37">
        <w:rPr>
          <w:rFonts w:ascii="Arial" w:hAnsi="Arial" w:cs="Arial"/>
          <w:sz w:val="24"/>
          <w:szCs w:val="24"/>
        </w:rPr>
        <w:t>данные застрахованные лица не достигли</w:t>
      </w:r>
      <w:proofErr w:type="gramEnd"/>
      <w:r w:rsidRPr="00BF7D37">
        <w:rPr>
          <w:rFonts w:ascii="Arial" w:hAnsi="Arial" w:cs="Arial"/>
          <w:sz w:val="24"/>
          <w:szCs w:val="24"/>
        </w:rPr>
        <w:t xml:space="preserve"> возраста 23 лет, указанный период продлевается до 31 декабря года, в котором лицо достигнет возраста 23 лет (включительно).</w:t>
      </w:r>
    </w:p>
    <w:p w:rsidR="00BF7D37" w:rsidRPr="00BF7D37" w:rsidRDefault="00BF7D37" w:rsidP="00BF7D37">
      <w:pPr>
        <w:spacing w:line="360" w:lineRule="auto"/>
        <w:jc w:val="both"/>
        <w:rPr>
          <w:rFonts w:ascii="Arial" w:hAnsi="Arial" w:cs="Arial"/>
          <w:sz w:val="24"/>
          <w:szCs w:val="24"/>
        </w:rPr>
      </w:pPr>
      <w:r w:rsidRPr="00BF7D37">
        <w:rPr>
          <w:rFonts w:ascii="Arial" w:hAnsi="Arial" w:cs="Arial"/>
          <w:sz w:val="24"/>
          <w:szCs w:val="24"/>
        </w:rPr>
        <w:t>Если гражданин принял решение отказаться от дальнейшего формирования накопительной пенсии, все ранее сформированные пенсионные накопления будут по-прежнему инвестироваться выбранным им страховщиком (ПФР или НПФ) и будут выплачены в полном объеме при обращении гражданина за назначением и последующей выплатой пенсии. Кроме того, застрахованное лицо по-прежнему вправе распоряжаться указанными пенсионными накоплениями и выбирать, кому доверить управление ими.</w:t>
      </w:r>
    </w:p>
    <w:p w:rsidR="00BF7D37" w:rsidRPr="00BF7D37" w:rsidRDefault="00BF7D37" w:rsidP="00BF7D37">
      <w:pPr>
        <w:spacing w:line="360" w:lineRule="auto"/>
        <w:jc w:val="both"/>
        <w:rPr>
          <w:rFonts w:ascii="Arial" w:hAnsi="Arial" w:cs="Arial"/>
          <w:sz w:val="24"/>
          <w:szCs w:val="24"/>
        </w:rPr>
      </w:pPr>
      <w:r w:rsidRPr="00BF7D37">
        <w:rPr>
          <w:rFonts w:ascii="Arial" w:hAnsi="Arial" w:cs="Arial"/>
          <w:b/>
          <w:bCs/>
          <w:sz w:val="24"/>
          <w:szCs w:val="24"/>
        </w:rPr>
        <w:t>Обращаем внимание, что в 2014, 2015,2016 и 2017-2019 гг. все страховые взносы на обязательное пенсионное страхование, уплачиваемые работодателями за своих работников, направляются на формирование страховой пенсии.</w:t>
      </w:r>
    </w:p>
    <w:p w:rsidR="00BF7D37" w:rsidRPr="00BF7D37" w:rsidRDefault="00BF7D37" w:rsidP="00BF7D37">
      <w:pPr>
        <w:spacing w:line="360" w:lineRule="auto"/>
        <w:jc w:val="both"/>
        <w:rPr>
          <w:rFonts w:ascii="Arial" w:hAnsi="Arial" w:cs="Arial"/>
          <w:sz w:val="24"/>
          <w:szCs w:val="24"/>
        </w:rPr>
      </w:pPr>
      <w:r w:rsidRPr="00BF7D37">
        <w:rPr>
          <w:rFonts w:ascii="Arial" w:hAnsi="Arial" w:cs="Arial"/>
          <w:sz w:val="24"/>
          <w:szCs w:val="24"/>
        </w:rPr>
        <w:t>Вне зависимости от выбора варианта пенсионного обеспечения в системе ОПС у всех граждан, имеющих пенсионные накопления, есть право доверить их управление:</w:t>
      </w:r>
    </w:p>
    <w:p w:rsidR="00BF7D37" w:rsidRPr="00BF7D37" w:rsidRDefault="00BF7D37" w:rsidP="00BF7D37">
      <w:pPr>
        <w:spacing w:line="360" w:lineRule="auto"/>
        <w:jc w:val="both"/>
        <w:rPr>
          <w:rFonts w:ascii="Arial" w:hAnsi="Arial" w:cs="Arial"/>
          <w:sz w:val="24"/>
          <w:szCs w:val="24"/>
        </w:rPr>
      </w:pPr>
      <w:r w:rsidRPr="00BF7D37">
        <w:rPr>
          <w:rFonts w:ascii="Arial" w:hAnsi="Arial" w:cs="Arial"/>
          <w:sz w:val="24"/>
          <w:szCs w:val="24"/>
        </w:rPr>
        <w:lastRenderedPageBreak/>
        <w:t> </w:t>
      </w:r>
      <w:r w:rsidRPr="00BF7D37">
        <w:rPr>
          <w:rFonts w:ascii="Arial" w:hAnsi="Arial" w:cs="Arial"/>
          <w:i/>
          <w:iCs/>
          <w:sz w:val="24"/>
          <w:szCs w:val="24"/>
        </w:rPr>
        <w:t>- Пенсионному фонду Российской Федерации, выбрав управляющую компанию (УК), отобранную по конкурсу, с которой ПФР заключил договор доверительного управления средствами пенсионных накоплений, в т.ч. один из инвестиционных портфелей государственной управляющей компании (ГУК) - Внешэкономбанк;</w:t>
      </w:r>
    </w:p>
    <w:p w:rsidR="00BF7D37" w:rsidRPr="00BF7D37" w:rsidRDefault="00BF7D37" w:rsidP="00BF7D37">
      <w:pPr>
        <w:spacing w:line="360" w:lineRule="auto"/>
        <w:jc w:val="both"/>
        <w:rPr>
          <w:rFonts w:ascii="Arial" w:hAnsi="Arial" w:cs="Arial"/>
          <w:sz w:val="24"/>
          <w:szCs w:val="24"/>
        </w:rPr>
      </w:pPr>
      <w:r w:rsidRPr="00BF7D37">
        <w:rPr>
          <w:rFonts w:ascii="Arial" w:hAnsi="Arial" w:cs="Arial"/>
          <w:i/>
          <w:iCs/>
          <w:sz w:val="24"/>
          <w:szCs w:val="24"/>
        </w:rPr>
        <w:t> - негосударственному пенсионному фонду (НПФ), осуществляющему деятельность по обязательному пенсионному страхованию.</w:t>
      </w:r>
    </w:p>
    <w:p w:rsidR="00BF7D37" w:rsidRPr="00BF7D37" w:rsidRDefault="00BF7D37" w:rsidP="00BF7D37">
      <w:pPr>
        <w:spacing w:line="360" w:lineRule="auto"/>
        <w:jc w:val="both"/>
        <w:rPr>
          <w:rFonts w:ascii="Arial" w:hAnsi="Arial" w:cs="Arial"/>
          <w:sz w:val="24"/>
          <w:szCs w:val="24"/>
        </w:rPr>
      </w:pPr>
      <w:r w:rsidRPr="00BF7D37">
        <w:rPr>
          <w:rFonts w:ascii="Arial" w:hAnsi="Arial" w:cs="Arial"/>
          <w:sz w:val="24"/>
          <w:szCs w:val="24"/>
        </w:rPr>
        <w:t>Менять страховщика (ПФР или НПФ), управляющую компанию можно ежегодно, подав соответствующее заявление в ближайший территориальный орган ПФР.  Кроме того, различается порядок расчета сумм пенсионных накоплений, подлежащих перечислению новому страховщику. </w:t>
      </w:r>
    </w:p>
    <w:p w:rsidR="00BF7D37" w:rsidRPr="00BF7D37" w:rsidRDefault="00BF7D37" w:rsidP="00BF7D37">
      <w:pPr>
        <w:spacing w:line="360" w:lineRule="auto"/>
        <w:jc w:val="both"/>
        <w:rPr>
          <w:rFonts w:ascii="Arial" w:hAnsi="Arial" w:cs="Arial"/>
          <w:sz w:val="24"/>
          <w:szCs w:val="24"/>
        </w:rPr>
      </w:pPr>
      <w:r w:rsidRPr="00BF7D37">
        <w:rPr>
          <w:rFonts w:ascii="Arial" w:hAnsi="Arial" w:cs="Arial"/>
          <w:sz w:val="24"/>
          <w:szCs w:val="24"/>
        </w:rPr>
        <w:t>Обращаем внимание, что</w:t>
      </w:r>
      <w:r w:rsidRPr="00BF7D37">
        <w:rPr>
          <w:rFonts w:ascii="Arial" w:hAnsi="Arial" w:cs="Arial"/>
          <w:b/>
          <w:bCs/>
          <w:sz w:val="24"/>
          <w:szCs w:val="24"/>
        </w:rPr>
        <w:t xml:space="preserve"> е</w:t>
      </w:r>
      <w:r w:rsidRPr="00BF7D37">
        <w:rPr>
          <w:rFonts w:ascii="Arial" w:hAnsi="Arial" w:cs="Arial"/>
          <w:sz w:val="24"/>
          <w:szCs w:val="24"/>
        </w:rPr>
        <w:t>сли гражданин будет осуществлять смену страховщика чаще одного раза в пять лет, он может потерять инвестиционный доход, полученный предыдущим страховщиком. При этом</w:t>
      </w:r>
      <w:proofErr w:type="gramStart"/>
      <w:r w:rsidRPr="00BF7D37">
        <w:rPr>
          <w:rFonts w:ascii="Arial" w:hAnsi="Arial" w:cs="Arial"/>
          <w:sz w:val="24"/>
          <w:szCs w:val="24"/>
        </w:rPr>
        <w:t>,</w:t>
      </w:r>
      <w:proofErr w:type="gramEnd"/>
      <w:r w:rsidRPr="00BF7D37">
        <w:rPr>
          <w:rFonts w:ascii="Arial" w:hAnsi="Arial" w:cs="Arial"/>
          <w:sz w:val="24"/>
          <w:szCs w:val="24"/>
        </w:rPr>
        <w:t xml:space="preserve"> если страховщиком гражданина является ПФР, смену управляющей компании или инвестиционного портфеля УК можно производить ежегодно без потери инвестиционного дохода.</w:t>
      </w:r>
    </w:p>
    <w:p w:rsidR="00BF7D37" w:rsidRPr="00BF7D37" w:rsidRDefault="00BF7D37" w:rsidP="00BF7D37">
      <w:pPr>
        <w:spacing w:line="360" w:lineRule="auto"/>
        <w:jc w:val="both"/>
        <w:rPr>
          <w:rFonts w:ascii="Arial" w:hAnsi="Arial" w:cs="Arial"/>
          <w:sz w:val="24"/>
          <w:szCs w:val="24"/>
        </w:rPr>
      </w:pPr>
      <w:r w:rsidRPr="00BF7D37">
        <w:rPr>
          <w:rFonts w:ascii="Arial" w:hAnsi="Arial" w:cs="Arial"/>
          <w:b/>
          <w:bCs/>
          <w:sz w:val="24"/>
          <w:szCs w:val="24"/>
        </w:rPr>
        <w:t>В чем разница между УК и НПФ? </w:t>
      </w:r>
      <w:r w:rsidRPr="00BF7D37">
        <w:rPr>
          <w:rFonts w:ascii="Arial" w:hAnsi="Arial" w:cs="Arial"/>
          <w:sz w:val="24"/>
          <w:szCs w:val="24"/>
        </w:rPr>
        <w:t>Если пенсионные накопления находятся в доверительном управлении УК или ГУК, то назначение и выплату накопительной пенсии, учет средств пенсионных накоплений и результатов их инвестирования управляющими компаниями осуществляет ПФР. Если пенсионные накопления находятся в НПФ, то инвестирование и учет средств пенсионных накоплений, а также назначение и выплату накопительной пенсии осуществляет выбранный гражданином НПФ.</w:t>
      </w:r>
    </w:p>
    <w:p w:rsidR="00BF7D37" w:rsidRPr="00BF7D37" w:rsidRDefault="00BF7D37" w:rsidP="00BF7D37">
      <w:pPr>
        <w:spacing w:line="360" w:lineRule="auto"/>
        <w:jc w:val="both"/>
        <w:rPr>
          <w:rFonts w:ascii="Arial" w:hAnsi="Arial" w:cs="Arial"/>
          <w:sz w:val="24"/>
          <w:szCs w:val="24"/>
        </w:rPr>
      </w:pPr>
      <w:r w:rsidRPr="00BF7D37">
        <w:rPr>
          <w:rFonts w:ascii="Arial" w:hAnsi="Arial" w:cs="Arial"/>
          <w:sz w:val="24"/>
          <w:szCs w:val="24"/>
        </w:rPr>
        <w:t>Средства пенсионных накоплений можно получить в виде:</w:t>
      </w:r>
    </w:p>
    <w:p w:rsidR="00BF7D37" w:rsidRPr="00BF7D37" w:rsidRDefault="00BF7D37" w:rsidP="00BF7D37">
      <w:pPr>
        <w:spacing w:line="360" w:lineRule="auto"/>
        <w:jc w:val="both"/>
        <w:rPr>
          <w:rFonts w:ascii="Arial" w:hAnsi="Arial" w:cs="Arial"/>
          <w:sz w:val="24"/>
          <w:szCs w:val="24"/>
        </w:rPr>
      </w:pPr>
      <w:r w:rsidRPr="00BF7D37">
        <w:rPr>
          <w:rFonts w:ascii="Arial" w:hAnsi="Arial" w:cs="Arial"/>
          <w:b/>
          <w:bCs/>
          <w:sz w:val="24"/>
          <w:szCs w:val="24"/>
        </w:rPr>
        <w:t xml:space="preserve">- единовременной выплаты, когда </w:t>
      </w:r>
      <w:r w:rsidRPr="00BF7D37">
        <w:rPr>
          <w:rFonts w:ascii="Arial" w:hAnsi="Arial" w:cs="Arial"/>
          <w:sz w:val="24"/>
          <w:szCs w:val="24"/>
        </w:rPr>
        <w:t>выплачиваются сразу все пенсионные накопления одной суммой, а получателями являются:</w:t>
      </w:r>
    </w:p>
    <w:p w:rsidR="00BF7D37" w:rsidRPr="00BF7D37" w:rsidRDefault="00BF7D37" w:rsidP="00BF7D37">
      <w:pPr>
        <w:numPr>
          <w:ilvl w:val="0"/>
          <w:numId w:val="3"/>
        </w:numPr>
        <w:spacing w:line="360" w:lineRule="auto"/>
        <w:jc w:val="both"/>
        <w:rPr>
          <w:rFonts w:ascii="Arial" w:hAnsi="Arial" w:cs="Arial"/>
          <w:sz w:val="24"/>
          <w:szCs w:val="24"/>
        </w:rPr>
      </w:pPr>
      <w:r w:rsidRPr="00BF7D37">
        <w:rPr>
          <w:rFonts w:ascii="Arial" w:hAnsi="Arial" w:cs="Arial"/>
          <w:i/>
          <w:iCs/>
          <w:sz w:val="24"/>
          <w:szCs w:val="24"/>
        </w:rPr>
        <w:t>граждане, у которых размер накопительной пенсии составляет 5 процентов и менее по отношению к сумме размера страховой пенсии по старости, в том числе с учетом фиксированной выплаты, и размера накопительной пенсии, рассчитанных по состоянию на день назначения накопительной пенсии;</w:t>
      </w:r>
    </w:p>
    <w:p w:rsidR="00BF7D37" w:rsidRPr="00BF7D37" w:rsidRDefault="00BF7D37" w:rsidP="00BF7D37">
      <w:pPr>
        <w:numPr>
          <w:ilvl w:val="0"/>
          <w:numId w:val="3"/>
        </w:numPr>
        <w:spacing w:line="360" w:lineRule="auto"/>
        <w:jc w:val="both"/>
        <w:rPr>
          <w:rFonts w:ascii="Arial" w:hAnsi="Arial" w:cs="Arial"/>
          <w:sz w:val="24"/>
          <w:szCs w:val="24"/>
        </w:rPr>
      </w:pPr>
      <w:r w:rsidRPr="00BF7D37">
        <w:rPr>
          <w:rFonts w:ascii="Arial" w:hAnsi="Arial" w:cs="Arial"/>
          <w:i/>
          <w:iCs/>
          <w:sz w:val="24"/>
          <w:szCs w:val="24"/>
        </w:rPr>
        <w:t xml:space="preserve">граждане, получающие страховую пенсию по инвалидности или по случаю потери кормильца либо получающие пенсию по государственному пенсионному обеспечению, которые при достижении общеустановленного пенсионного возраста не приобрели право на страховую пенсию по старости из-за отсутствия </w:t>
      </w:r>
      <w:r w:rsidRPr="00BF7D37">
        <w:rPr>
          <w:rFonts w:ascii="Arial" w:hAnsi="Arial" w:cs="Arial"/>
          <w:i/>
          <w:iCs/>
          <w:sz w:val="24"/>
          <w:szCs w:val="24"/>
        </w:rPr>
        <w:lastRenderedPageBreak/>
        <w:t>необходимого страхового стажа или необходимого количества пенсионных баллов (с учетом переходных положений пенсионной формулы).</w:t>
      </w:r>
    </w:p>
    <w:p w:rsidR="00BF7D37" w:rsidRPr="00BF7D37" w:rsidRDefault="00BF7D37" w:rsidP="00BF7D37">
      <w:pPr>
        <w:spacing w:line="360" w:lineRule="auto"/>
        <w:jc w:val="both"/>
        <w:rPr>
          <w:rFonts w:ascii="Arial" w:hAnsi="Arial" w:cs="Arial"/>
          <w:sz w:val="24"/>
          <w:szCs w:val="24"/>
        </w:rPr>
      </w:pPr>
      <w:r w:rsidRPr="00BF7D37">
        <w:rPr>
          <w:rFonts w:ascii="Arial" w:hAnsi="Arial" w:cs="Arial"/>
          <w:b/>
          <w:bCs/>
          <w:sz w:val="24"/>
          <w:szCs w:val="24"/>
        </w:rPr>
        <w:t>- срочной пенсионной выплаты.</w:t>
      </w:r>
      <w:r w:rsidRPr="00BF7D37">
        <w:rPr>
          <w:rFonts w:ascii="Arial" w:hAnsi="Arial" w:cs="Arial"/>
          <w:sz w:val="24"/>
          <w:szCs w:val="24"/>
        </w:rPr>
        <w:t xml:space="preserve"> Ее продолжительность определяет сам гражданин, но она не может быть меньше 10 лет. </w:t>
      </w:r>
      <w:proofErr w:type="gramStart"/>
      <w:r w:rsidRPr="00BF7D37">
        <w:rPr>
          <w:rFonts w:ascii="Arial" w:hAnsi="Arial" w:cs="Arial"/>
          <w:sz w:val="24"/>
          <w:szCs w:val="24"/>
        </w:rPr>
        <w:t xml:space="preserve">Выплачивается при возникновении права на пенсию по старости лицам, сформировавшим пенсионные накопления за счет взносов в рамках Программы государственного </w:t>
      </w:r>
      <w:proofErr w:type="spellStart"/>
      <w:r w:rsidRPr="00BF7D37">
        <w:rPr>
          <w:rFonts w:ascii="Arial" w:hAnsi="Arial" w:cs="Arial"/>
          <w:sz w:val="24"/>
          <w:szCs w:val="24"/>
        </w:rPr>
        <w:t>софинансирования</w:t>
      </w:r>
      <w:proofErr w:type="spellEnd"/>
      <w:r w:rsidRPr="00BF7D37">
        <w:rPr>
          <w:rFonts w:ascii="Arial" w:hAnsi="Arial" w:cs="Arial"/>
          <w:sz w:val="24"/>
          <w:szCs w:val="24"/>
        </w:rPr>
        <w:t xml:space="preserve"> пенсии, в том числе взносов работодателя, взносов государства на </w:t>
      </w:r>
      <w:proofErr w:type="spellStart"/>
      <w:r w:rsidRPr="00BF7D37">
        <w:rPr>
          <w:rFonts w:ascii="Arial" w:hAnsi="Arial" w:cs="Arial"/>
          <w:sz w:val="24"/>
          <w:szCs w:val="24"/>
        </w:rPr>
        <w:t>софинансирование</w:t>
      </w:r>
      <w:proofErr w:type="spellEnd"/>
      <w:r w:rsidRPr="00BF7D37">
        <w:rPr>
          <w:rFonts w:ascii="Arial" w:hAnsi="Arial" w:cs="Arial"/>
          <w:sz w:val="24"/>
          <w:szCs w:val="24"/>
        </w:rPr>
        <w:t xml:space="preserve"> и дохода от их инвестирования, а также за счет средств материнского (семейного) капитала, направленных на формирование будущей пенсии, и дохода от их инвестирования.</w:t>
      </w:r>
      <w:proofErr w:type="gramEnd"/>
    </w:p>
    <w:p w:rsidR="00BF7D37" w:rsidRPr="00BF7D37" w:rsidRDefault="00BF7D37" w:rsidP="00BF7D37">
      <w:pPr>
        <w:spacing w:line="360" w:lineRule="auto"/>
        <w:jc w:val="both"/>
        <w:rPr>
          <w:rFonts w:ascii="Arial" w:hAnsi="Arial" w:cs="Arial"/>
          <w:sz w:val="24"/>
          <w:szCs w:val="24"/>
        </w:rPr>
      </w:pPr>
      <w:r w:rsidRPr="00BF7D37">
        <w:rPr>
          <w:rFonts w:ascii="Arial" w:hAnsi="Arial" w:cs="Arial"/>
          <w:b/>
          <w:bCs/>
          <w:sz w:val="24"/>
          <w:szCs w:val="24"/>
        </w:rPr>
        <w:t>- накопительной пенсии </w:t>
      </w:r>
      <w:r w:rsidRPr="00BF7D37">
        <w:rPr>
          <w:rFonts w:ascii="Arial" w:hAnsi="Arial" w:cs="Arial"/>
          <w:sz w:val="24"/>
          <w:szCs w:val="24"/>
        </w:rPr>
        <w:t>– осуществляется ежемесячно и пожизненно</w:t>
      </w:r>
      <w:r w:rsidRPr="00BF7D37">
        <w:rPr>
          <w:rFonts w:ascii="Arial" w:hAnsi="Arial" w:cs="Arial"/>
          <w:b/>
          <w:bCs/>
          <w:sz w:val="24"/>
          <w:szCs w:val="24"/>
        </w:rPr>
        <w:t>.</w:t>
      </w:r>
      <w:r w:rsidRPr="00BF7D37">
        <w:rPr>
          <w:rFonts w:ascii="Arial" w:hAnsi="Arial" w:cs="Arial"/>
          <w:sz w:val="24"/>
          <w:szCs w:val="24"/>
        </w:rPr>
        <w:t> Ее размер рассчитывается исходя из ожидаемого периода выплаты – 19,5 лет (234 месяца). Чтобы рассчитать ежемесячный размер выплаты, надо общую сумму пенсионных накоплений, учтенную в специальной части индивидуального лицевого счета застрахованного лица, по состоянию на день, с которого назначается выплата, разделить на 234 месяца.</w:t>
      </w:r>
    </w:p>
    <w:p w:rsidR="00924688" w:rsidRDefault="00924688" w:rsidP="00BF7D37">
      <w:pPr>
        <w:spacing w:line="360" w:lineRule="auto"/>
      </w:pPr>
    </w:p>
    <w:p w:rsidR="00D91269" w:rsidRDefault="00D91269" w:rsidP="00BF7D37">
      <w:pPr>
        <w:spacing w:line="360" w:lineRule="auto"/>
      </w:pPr>
    </w:p>
    <w:p w:rsidR="00D91269" w:rsidRPr="001D6D88" w:rsidRDefault="00D91269" w:rsidP="00D91269">
      <w:pPr>
        <w:spacing w:after="0" w:line="360" w:lineRule="auto"/>
        <w:ind w:firstLine="4395"/>
        <w:textAlignment w:val="baseline"/>
        <w:rPr>
          <w:rFonts w:ascii="Arial" w:eastAsia="Times New Roman" w:hAnsi="Arial" w:cs="Arial"/>
          <w:color w:val="000000"/>
          <w:sz w:val="24"/>
          <w:szCs w:val="24"/>
          <w:lang w:eastAsia="ru-RU"/>
        </w:rPr>
      </w:pPr>
      <w:r w:rsidRPr="001D6D88">
        <w:rPr>
          <w:rFonts w:ascii="Arial" w:eastAsia="Times New Roman" w:hAnsi="Arial" w:cs="Arial"/>
          <w:b/>
          <w:bCs/>
          <w:color w:val="333399"/>
          <w:sz w:val="24"/>
          <w:szCs w:val="24"/>
          <w:bdr w:val="none" w:sz="0" w:space="0" w:color="auto" w:frame="1"/>
          <w:lang w:eastAsia="ru-RU"/>
        </w:rPr>
        <w:t>Пресс-служба</w:t>
      </w:r>
    </w:p>
    <w:p w:rsidR="00D91269" w:rsidRPr="001D6D88" w:rsidRDefault="00D91269" w:rsidP="00D91269">
      <w:pPr>
        <w:spacing w:after="0" w:line="360" w:lineRule="auto"/>
        <w:ind w:firstLine="4395"/>
        <w:textAlignment w:val="baseline"/>
        <w:rPr>
          <w:rFonts w:ascii="Arial" w:eastAsia="Times New Roman" w:hAnsi="Arial" w:cs="Arial"/>
          <w:color w:val="000000"/>
          <w:sz w:val="24"/>
          <w:szCs w:val="24"/>
          <w:lang w:eastAsia="ru-RU"/>
        </w:rPr>
      </w:pPr>
      <w:r w:rsidRPr="001D6D88">
        <w:rPr>
          <w:rFonts w:ascii="Arial" w:eastAsia="Times New Roman" w:hAnsi="Arial" w:cs="Arial"/>
          <w:b/>
          <w:bCs/>
          <w:color w:val="333399"/>
          <w:sz w:val="24"/>
          <w:szCs w:val="24"/>
          <w:bdr w:val="none" w:sz="0" w:space="0" w:color="auto" w:frame="1"/>
          <w:lang w:eastAsia="ru-RU"/>
        </w:rPr>
        <w:t>Отделения Пенсионного фонда РФ</w:t>
      </w:r>
    </w:p>
    <w:p w:rsidR="00D91269" w:rsidRPr="001D6D88" w:rsidRDefault="00D91269" w:rsidP="00D91269">
      <w:pPr>
        <w:spacing w:after="0" w:line="360" w:lineRule="auto"/>
        <w:ind w:firstLine="4395"/>
        <w:textAlignment w:val="baseline"/>
        <w:rPr>
          <w:rFonts w:ascii="Arial" w:eastAsia="Times New Roman" w:hAnsi="Arial" w:cs="Arial"/>
          <w:color w:val="000000"/>
          <w:sz w:val="24"/>
          <w:szCs w:val="24"/>
          <w:lang w:eastAsia="ru-RU"/>
        </w:rPr>
      </w:pPr>
      <w:r w:rsidRPr="001D6D88">
        <w:rPr>
          <w:rFonts w:ascii="Arial" w:eastAsia="Times New Roman" w:hAnsi="Arial" w:cs="Arial"/>
          <w:b/>
          <w:bCs/>
          <w:color w:val="333399"/>
          <w:sz w:val="24"/>
          <w:szCs w:val="24"/>
          <w:bdr w:val="none" w:sz="0" w:space="0" w:color="auto" w:frame="1"/>
          <w:lang w:eastAsia="ru-RU"/>
        </w:rPr>
        <w:t>по Кабардино-Балкарской республике</w:t>
      </w:r>
    </w:p>
    <w:p w:rsidR="00D91269" w:rsidRPr="001D6D88" w:rsidRDefault="00D91269" w:rsidP="00D91269">
      <w:pPr>
        <w:spacing w:after="0" w:line="360" w:lineRule="auto"/>
        <w:ind w:firstLine="4395"/>
        <w:textAlignment w:val="baseline"/>
        <w:rPr>
          <w:rFonts w:ascii="Arial" w:eastAsia="Times New Roman" w:hAnsi="Arial" w:cs="Arial"/>
          <w:color w:val="000000"/>
          <w:sz w:val="24"/>
          <w:szCs w:val="24"/>
          <w:lang w:eastAsia="ru-RU"/>
        </w:rPr>
      </w:pPr>
      <w:r w:rsidRPr="001D6D88">
        <w:rPr>
          <w:rFonts w:ascii="Arial" w:eastAsia="Times New Roman" w:hAnsi="Arial" w:cs="Arial"/>
          <w:color w:val="333333"/>
          <w:sz w:val="24"/>
          <w:szCs w:val="24"/>
          <w:bdr w:val="none" w:sz="0" w:space="0" w:color="auto" w:frame="1"/>
          <w:lang w:eastAsia="ru-RU"/>
        </w:rPr>
        <w:t>г. Нальчик, ул. Чернышевского 181 «а»,</w:t>
      </w:r>
    </w:p>
    <w:p w:rsidR="00D91269" w:rsidRPr="001D6D88" w:rsidRDefault="00D91269" w:rsidP="00D91269">
      <w:pPr>
        <w:spacing w:after="0" w:line="360" w:lineRule="auto"/>
        <w:ind w:firstLine="4395"/>
        <w:textAlignment w:val="baseline"/>
        <w:rPr>
          <w:rFonts w:ascii="Arial" w:eastAsia="Times New Roman" w:hAnsi="Arial" w:cs="Arial"/>
          <w:color w:val="000000"/>
          <w:sz w:val="24"/>
          <w:szCs w:val="24"/>
          <w:lang w:eastAsia="ru-RU"/>
        </w:rPr>
      </w:pPr>
      <w:r w:rsidRPr="001D6D88">
        <w:rPr>
          <w:rFonts w:ascii="Arial" w:eastAsia="Times New Roman" w:hAnsi="Arial" w:cs="Arial"/>
          <w:color w:val="333333"/>
          <w:sz w:val="24"/>
          <w:szCs w:val="24"/>
          <w:bdr w:val="none" w:sz="0" w:space="0" w:color="auto" w:frame="1"/>
          <w:lang w:eastAsia="ru-RU"/>
        </w:rPr>
        <w:t>Офис # 316, Вебсайт: www.pfrf.ru/ot_kabbal/</w:t>
      </w:r>
    </w:p>
    <w:p w:rsidR="00D91269" w:rsidRPr="001D6D88" w:rsidRDefault="00D91269" w:rsidP="00D91269">
      <w:pPr>
        <w:spacing w:after="0" w:line="360" w:lineRule="auto"/>
        <w:ind w:firstLine="4395"/>
        <w:textAlignment w:val="baseline"/>
        <w:rPr>
          <w:rFonts w:ascii="Arial" w:eastAsia="Times New Roman" w:hAnsi="Arial" w:cs="Arial"/>
          <w:color w:val="000000"/>
          <w:sz w:val="24"/>
          <w:szCs w:val="24"/>
          <w:lang w:val="en-US" w:eastAsia="ru-RU"/>
        </w:rPr>
      </w:pPr>
      <w:r w:rsidRPr="001D6D88">
        <w:rPr>
          <w:rFonts w:ascii="Arial" w:eastAsia="Times New Roman" w:hAnsi="Arial" w:cs="Arial"/>
          <w:color w:val="333333"/>
          <w:sz w:val="24"/>
          <w:szCs w:val="24"/>
          <w:bdr w:val="none" w:sz="0" w:space="0" w:color="auto" w:frame="1"/>
          <w:lang w:val="en-US" w:eastAsia="ru-RU"/>
        </w:rPr>
        <w:t>E-mail: opfr_po_kbr@mail.ru</w:t>
      </w:r>
    </w:p>
    <w:p w:rsidR="00D91269" w:rsidRPr="00DA1764" w:rsidRDefault="00D91269" w:rsidP="00D91269">
      <w:pPr>
        <w:pStyle w:val="a3"/>
        <w:spacing w:line="360" w:lineRule="auto"/>
        <w:ind w:firstLine="5245"/>
        <w:rPr>
          <w:rFonts w:ascii="Arial" w:hAnsi="Arial" w:cs="Arial"/>
          <w:color w:val="595959" w:themeColor="text1" w:themeTint="A6"/>
          <w:sz w:val="24"/>
          <w:szCs w:val="24"/>
          <w:lang w:val="en-US"/>
        </w:rPr>
      </w:pPr>
      <w:r w:rsidRPr="00DA1764">
        <w:rPr>
          <w:rFonts w:ascii="Arial" w:hAnsi="Arial" w:cs="Arial"/>
          <w:color w:val="595959" w:themeColor="text1" w:themeTint="A6"/>
          <w:sz w:val="24"/>
          <w:szCs w:val="24"/>
          <w:lang w:val="en-US"/>
        </w:rPr>
        <w:t> </w:t>
      </w:r>
    </w:p>
    <w:p w:rsidR="00D91269" w:rsidRPr="00D91269" w:rsidRDefault="00D91269" w:rsidP="00BF7D37">
      <w:pPr>
        <w:spacing w:line="360" w:lineRule="auto"/>
        <w:rPr>
          <w:lang w:val="en-US"/>
        </w:rPr>
      </w:pPr>
      <w:bookmarkStart w:id="0" w:name="_GoBack"/>
      <w:bookmarkEnd w:id="0"/>
    </w:p>
    <w:sectPr w:rsidR="00D91269" w:rsidRPr="00D91269" w:rsidSect="00BF7D37">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24D68"/>
    <w:multiLevelType w:val="multilevel"/>
    <w:tmpl w:val="CC567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192DEF"/>
    <w:multiLevelType w:val="multilevel"/>
    <w:tmpl w:val="ACA2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836B57"/>
    <w:multiLevelType w:val="multilevel"/>
    <w:tmpl w:val="6BF63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BF7D37"/>
    <w:rsid w:val="00103F87"/>
    <w:rsid w:val="0072179B"/>
    <w:rsid w:val="00924688"/>
    <w:rsid w:val="00B81125"/>
    <w:rsid w:val="00BA67DE"/>
    <w:rsid w:val="00BF7D37"/>
    <w:rsid w:val="00D912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7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9126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91269"/>
    <w:pPr>
      <w:spacing w:after="0" w:line="240" w:lineRule="auto"/>
    </w:pPr>
  </w:style>
</w:styles>
</file>

<file path=word/webSettings.xml><?xml version="1.0" encoding="utf-8"?>
<w:webSettings xmlns:r="http://schemas.openxmlformats.org/officeDocument/2006/relationships" xmlns:w="http://schemas.openxmlformats.org/wordprocessingml/2006/main">
  <w:divs>
    <w:div w:id="922909180">
      <w:bodyDiv w:val="1"/>
      <w:marLeft w:val="0"/>
      <w:marRight w:val="0"/>
      <w:marTop w:val="0"/>
      <w:marBottom w:val="0"/>
      <w:divBdr>
        <w:top w:val="none" w:sz="0" w:space="0" w:color="auto"/>
        <w:left w:val="none" w:sz="0" w:space="0" w:color="auto"/>
        <w:bottom w:val="none" w:sz="0" w:space="0" w:color="auto"/>
        <w:right w:val="none" w:sz="0" w:space="0" w:color="auto"/>
      </w:divBdr>
      <w:divsChild>
        <w:div w:id="583612481">
          <w:marLeft w:val="0"/>
          <w:marRight w:val="0"/>
          <w:marTop w:val="0"/>
          <w:marBottom w:val="0"/>
          <w:divBdr>
            <w:top w:val="none" w:sz="0" w:space="0" w:color="auto"/>
            <w:left w:val="none" w:sz="0" w:space="0" w:color="auto"/>
            <w:bottom w:val="none" w:sz="0" w:space="0" w:color="auto"/>
            <w:right w:val="none" w:sz="0" w:space="0" w:color="auto"/>
          </w:divBdr>
          <w:divsChild>
            <w:div w:id="332803459">
              <w:marLeft w:val="0"/>
              <w:marRight w:val="0"/>
              <w:marTop w:val="0"/>
              <w:marBottom w:val="0"/>
              <w:divBdr>
                <w:top w:val="none" w:sz="0" w:space="0" w:color="auto"/>
                <w:left w:val="none" w:sz="0" w:space="0" w:color="auto"/>
                <w:bottom w:val="none" w:sz="0" w:space="0" w:color="auto"/>
                <w:right w:val="none" w:sz="0" w:space="0" w:color="auto"/>
              </w:divBdr>
            </w:div>
          </w:divsChild>
        </w:div>
        <w:div w:id="997922779">
          <w:marLeft w:val="0"/>
          <w:marRight w:val="0"/>
          <w:marTop w:val="0"/>
          <w:marBottom w:val="0"/>
          <w:divBdr>
            <w:top w:val="none" w:sz="0" w:space="0" w:color="auto"/>
            <w:left w:val="none" w:sz="0" w:space="0" w:color="auto"/>
            <w:bottom w:val="none" w:sz="0" w:space="0" w:color="auto"/>
            <w:right w:val="none" w:sz="0" w:space="0" w:color="auto"/>
          </w:divBdr>
          <w:divsChild>
            <w:div w:id="1470318075">
              <w:marLeft w:val="0"/>
              <w:marRight w:val="0"/>
              <w:marTop w:val="0"/>
              <w:marBottom w:val="0"/>
              <w:divBdr>
                <w:top w:val="none" w:sz="0" w:space="0" w:color="auto"/>
                <w:left w:val="none" w:sz="0" w:space="0" w:color="auto"/>
                <w:bottom w:val="none" w:sz="0" w:space="0" w:color="auto"/>
                <w:right w:val="none" w:sz="0" w:space="0" w:color="auto"/>
              </w:divBdr>
              <w:divsChild>
                <w:div w:id="114763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1153</Words>
  <Characters>6577</Characters>
  <Application>Microsoft Office Word</Application>
  <DocSecurity>0</DocSecurity>
  <Lines>54</Lines>
  <Paragraphs>15</Paragraphs>
  <ScaleCrop>false</ScaleCrop>
  <Company>Kraftway</Company>
  <LinksUpToDate>false</LinksUpToDate>
  <CharactersWithSpaces>7715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Зарета Алоева</dc:creator>
  <cp:lastModifiedBy>Мдина</cp:lastModifiedBy>
  <cp:revision>2</cp:revision>
  <dcterms:created xsi:type="dcterms:W3CDTF">2017-07-03T09:40:00Z</dcterms:created>
  <dcterms:modified xsi:type="dcterms:W3CDTF">2017-07-03T09:40:00Z</dcterms:modified>
</cp:coreProperties>
</file>